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>
        <w:rPr>
          <w:rFonts w:ascii="Verdana" w:eastAsia="Times New Roman" w:hAnsi="Verdana" w:cs="Times New Roman"/>
          <w:sz w:val="19"/>
          <w:szCs w:val="19"/>
          <w:lang w:eastAsia="fr-FR"/>
        </w:rPr>
        <w:t>SOMMAIRE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bookmarkStart w:id="0" w:name="_GoBack"/>
      <w:bookmarkEnd w:id="0"/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br/>
        <w:t>P.5. Préface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P.7. Avant-propos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P.11. Fiche 1 -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premier principe philosophique initial du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libéralisme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: la liberté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P.15. Fiche 2 -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deuxième principe philosophique initial du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libéralisme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: l’égalité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P.19. Fiche 3 -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troisième principe philosophique initial du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libéralisme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: l’intérêt individuel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P.23. Fiche 4 -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quatrième principe philosophique initial du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libéralisme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: la responsabilité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P.25. Fiche 5 -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premier principe juridique initial du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libéralisme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: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droit de propriété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P.31. Fiche 6 -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deuxième principe juridique initial du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libéralisme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: la liberté des contrats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P.33. Fiche 7 -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principe politique initial du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libéralisme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: la démocratie parlementaire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P.37. Fiche 8 - La remise en cause moderne de l’efficacité de la démocratie parlementaire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P.43. Fiche 9 - La première conséquence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économique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du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libéralisme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: la concurrence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P.49. Fiche 10 - La vision de Bastiat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sur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les principes du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libéralisme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P.53. Fiche 11 - La deuxième conséquence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économique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du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libéralisme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: la liberté du commerce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P.59. Fiche 12 - La troisième conséquence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économique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du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libéralisme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: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travail, contrainte et satisfaction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P.63. Fiche 13 - La quatrième conséquence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économique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du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libéralisme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: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capital, complément indispensable du travail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P.67. Fiche 14 - La cinquième conséquence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économique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du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libéralisme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: la formation des prix, base du calcul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économique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rationnel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P.71. Fiche 15 - La sixième conséquence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économique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du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libéralisme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: la croissance et son facteur explicatif, l’investissement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P.75. Fiche 16 - La septième conséquence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économique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du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libéralisme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: l’incitation à la croissance,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profit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P.79. Fiche 17 - La première forme du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libéralisme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économique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: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libéralisme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commercial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P.83. Fiche 18 -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protestantisme et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développement du prêt à intérêt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P.89. Fiche 19 - La création nécessaire de la monnaie et l’émergence d’un système bancaire et financier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P.95. Fiche 20 - Des avancées juridiques indispensables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P.99. Fiche 21 - La deuxième forme du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libéralisme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économique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: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libéralisme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industriel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P.103. Fiche 22 - L’apparition du salariat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P.107. Fiche 23 - L’apparition des machines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P.111. Fiche 24 - La production de masse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P.113. Fiche 25 - La concentration des entreprises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P.115. Fiche 26 - La troisième forme du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libéralisme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économique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: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libéralisme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financier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P.119. Fiche 27 - Mondialisation et globalisation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P.123. Fiche 28 - La révolution informationnelle, alliée de la révolution financière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P.129. Fiche 29 - La modification de la gouvernance des entreprises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P.133. Fiche 30 - La prise en compte du développement durable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P.137. Fiche 31 - Les nouvelles politiques économiques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P.143. Fiche 32 - Les agissements nécessairement réduits de l’État dans une économie libérale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P.149. Fiche 33 - La complexité de la définition des biens et services collectifs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P.155. Fiche 34 - La fiscalité et la croissance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P.161. Fiche 35 - Efficacité de l’État versus efficacité du marché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P.165. Fiche 36 -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Libéralisme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et éthique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P.169. Fiche 37 - </w:t>
      </w:r>
      <w:r w:rsidRPr="00C9326A">
        <w:rPr>
          <w:rFonts w:ascii="Verdana" w:eastAsia="Times New Roman" w:hAnsi="Verdana" w:cs="Times New Roman"/>
          <w:b/>
          <w:bCs/>
          <w:sz w:val="19"/>
          <w:szCs w:val="19"/>
          <w:lang w:eastAsia="fr-FR"/>
        </w:rPr>
        <w:t>Le</w:t>
      </w: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 rôle de l’État selon Jean-Baptiste Say</w:t>
      </w:r>
    </w:p>
    <w:p w:rsidR="00C9326A" w:rsidRPr="00C9326A" w:rsidRDefault="00C9326A" w:rsidP="00C9326A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fr-FR"/>
        </w:rPr>
      </w:pPr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t>P.173. Bibliographie</w:t>
      </w:r>
    </w:p>
    <w:p w:rsidR="00406C96" w:rsidRDefault="00C9326A" w:rsidP="00C9326A">
      <w:r w:rsidRPr="00C9326A">
        <w:rPr>
          <w:rFonts w:ascii="Verdana" w:eastAsia="Times New Roman" w:hAnsi="Verdana" w:cs="Times New Roman"/>
          <w:sz w:val="19"/>
          <w:szCs w:val="19"/>
          <w:lang w:eastAsia="fr-FR"/>
        </w:rPr>
        <w:lastRenderedPageBreak/>
        <w:t> </w:t>
      </w:r>
    </w:p>
    <w:sectPr w:rsidR="00406C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6A"/>
    <w:rsid w:val="00406C96"/>
    <w:rsid w:val="00C9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ighlight">
    <w:name w:val="highlight"/>
    <w:basedOn w:val="Policepardfaut"/>
    <w:rsid w:val="00C93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ighlight">
    <w:name w:val="highlight"/>
    <w:basedOn w:val="Policepardfaut"/>
    <w:rsid w:val="00C93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NABILA ALIBEY</dc:creator>
  <cp:lastModifiedBy>NABILA ALIBEY</cp:lastModifiedBy>
  <cp:revision>1</cp:revision>
  <dcterms:created xsi:type="dcterms:W3CDTF">2024-10-27T09:36:00Z</dcterms:created>
  <dcterms:modified xsi:type="dcterms:W3CDTF">2024-10-27T09:37:00Z</dcterms:modified>
</cp:coreProperties>
</file>